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8C" w:rsidRPr="00A16B8C" w:rsidRDefault="00A16B8C" w:rsidP="00A16B8C">
      <w:pPr>
        <w:spacing w:after="0" w:line="240" w:lineRule="auto"/>
        <w:ind w:left="532"/>
        <w:jc w:val="center"/>
        <w:rPr>
          <w:rFonts w:ascii="Times New Roman" w:eastAsia="Times New Roman" w:hAnsi="Times New Roman" w:cs="Times New Roman"/>
          <w:b/>
          <w:bCs/>
          <w:color w:val="000000"/>
          <w:sz w:val="24"/>
          <w:szCs w:val="24"/>
          <w:lang w:val="ro-RO" w:eastAsia="ru-RU"/>
        </w:rPr>
      </w:pPr>
      <w:r w:rsidRPr="00A16B8C">
        <w:rPr>
          <w:rFonts w:ascii="Times New Roman" w:eastAsia="Times New Roman" w:hAnsi="Times New Roman" w:cs="Times New Roman"/>
          <w:b/>
          <w:bCs/>
          <w:color w:val="000000"/>
          <w:sz w:val="24"/>
          <w:szCs w:val="24"/>
          <w:lang w:val="ro-RO" w:eastAsia="ru-RU"/>
        </w:rPr>
        <w:t>MEDICAMENTE CARE INFLUENŢEAZĂ FUNCŢIILE ORGANELOR SISTEMULUI DIGESTIV (partea I)</w:t>
      </w:r>
    </w:p>
    <w:p w:rsidR="00A16B8C" w:rsidRPr="00A16B8C" w:rsidRDefault="00A16B8C" w:rsidP="00A16B8C">
      <w:pPr>
        <w:widowControl w:val="0"/>
        <w:tabs>
          <w:tab w:val="left" w:pos="1152"/>
        </w:tabs>
        <w:spacing w:after="0" w:line="240" w:lineRule="auto"/>
        <w:jc w:val="both"/>
        <w:rPr>
          <w:rFonts w:ascii="Times New Roman" w:eastAsia="Times New Roman" w:hAnsi="Times New Roman" w:cs="Times New Roman"/>
          <w:color w:val="000000"/>
          <w:sz w:val="24"/>
          <w:szCs w:val="24"/>
          <w:lang w:val="ro-RO" w:eastAsia="ru-RU"/>
        </w:rPr>
      </w:pP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A. Actualitatea.</w:t>
      </w:r>
      <w:r w:rsidRPr="00A16B8C">
        <w:rPr>
          <w:rFonts w:ascii="Times New Roman" w:eastAsia="Times New Roman" w:hAnsi="Times New Roman" w:cs="Times New Roman"/>
          <w:color w:val="000000"/>
          <w:sz w:val="24"/>
          <w:szCs w:val="24"/>
          <w:lang w:val="ro-RO" w:eastAsia="ru-RU"/>
        </w:rPr>
        <w:t xml:space="preserve"> Patologiile aparatului digestiv se întâlnesc destul de frecvent în practica medicală. Terapia medicamentoasă a acestora necesită utilizarea unei game variate de grupe de medicamente și cunoștințe vaste pentru selectarea rațională.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B. Scopul instruirii. </w:t>
      </w:r>
      <w:r w:rsidRPr="00A16B8C">
        <w:rPr>
          <w:rFonts w:ascii="Times New Roman" w:eastAsia="Times New Roman" w:hAnsi="Times New Roman" w:cs="Times New Roman"/>
          <w:color w:val="000000"/>
          <w:sz w:val="24"/>
          <w:szCs w:val="24"/>
          <w:lang w:val="ro-RO" w:eastAsia="ru-RU"/>
        </w:rPr>
        <w:t>Familiarizarea studenţilor cu grupele de medicamente, care influenţează funcţiile tubului digestiv şi cu principiile de selectare corectă a medicamentelor în patologiile respective.</w:t>
      </w:r>
    </w:p>
    <w:p w:rsidR="00A16B8C" w:rsidRPr="00A16B8C" w:rsidRDefault="00A16B8C" w:rsidP="00A16B8C">
      <w:pPr>
        <w:widowControl w:val="0"/>
        <w:tabs>
          <w:tab w:val="left" w:pos="432"/>
        </w:tabs>
        <w:spacing w:after="0" w:line="240" w:lineRule="auto"/>
        <w:jc w:val="both"/>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ab/>
      </w:r>
      <w:r w:rsidRPr="00A16B8C">
        <w:rPr>
          <w:rFonts w:ascii="Times New Roman" w:eastAsia="Times New Roman" w:hAnsi="Times New Roman" w:cs="Times New Roman"/>
          <w:b/>
          <w:color w:val="000000"/>
          <w:sz w:val="24"/>
          <w:szCs w:val="24"/>
          <w:lang w:val="ro-RO" w:eastAsia="ru-RU"/>
        </w:rPr>
        <w:tab/>
        <w:t>C. Scopuri didactice</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a) Studentul trebuie </w:t>
      </w:r>
      <w:r w:rsidRPr="00A16B8C">
        <w:rPr>
          <w:rFonts w:ascii="Times New Roman" w:eastAsia="Times New Roman" w:hAnsi="Times New Roman" w:cs="Times New Roman"/>
          <w:b/>
          <w:color w:val="000000"/>
          <w:sz w:val="24"/>
          <w:szCs w:val="24"/>
          <w:lang w:val="ro-RO" w:eastAsia="ru-RU"/>
        </w:rPr>
        <w:t xml:space="preserve">să cunoască: </w:t>
      </w:r>
      <w:r w:rsidRPr="00A16B8C">
        <w:rPr>
          <w:rFonts w:ascii="Times New Roman" w:eastAsia="Times New Roman" w:hAnsi="Times New Roman" w:cs="Times New Roman"/>
          <w:color w:val="000000"/>
          <w:sz w:val="24"/>
          <w:szCs w:val="24"/>
          <w:lang w:val="ro-RO" w:eastAsia="ru-RU"/>
        </w:rPr>
        <w:t>clasificarea, mecanismul acţiunii, efectele, indicaţiile, contraindicaţiile și reacţiile adverse ale preparatelor cu influență asupra tubului digestiv.</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b) Studentul trebuie </w:t>
      </w:r>
      <w:r w:rsidRPr="00A16B8C">
        <w:rPr>
          <w:rFonts w:ascii="Times New Roman" w:eastAsia="Times New Roman" w:hAnsi="Times New Roman" w:cs="Times New Roman"/>
          <w:b/>
          <w:color w:val="000000"/>
          <w:sz w:val="24"/>
          <w:szCs w:val="24"/>
          <w:lang w:val="ro-RO" w:eastAsia="ru-RU"/>
        </w:rPr>
        <w:t>să</w:t>
      </w:r>
      <w:r w:rsidRPr="00A16B8C">
        <w:rPr>
          <w:rFonts w:ascii="Times New Roman" w:eastAsia="Times New Roman" w:hAnsi="Times New Roman" w:cs="Times New Roman"/>
          <w:color w:val="000000"/>
          <w:sz w:val="24"/>
          <w:szCs w:val="24"/>
          <w:lang w:val="ro-RO" w:eastAsia="ru-RU"/>
        </w:rPr>
        <w:t xml:space="preserve"> </w:t>
      </w:r>
      <w:r w:rsidRPr="00A16B8C">
        <w:rPr>
          <w:rFonts w:ascii="Times New Roman" w:eastAsia="Times New Roman" w:hAnsi="Times New Roman" w:cs="Times New Roman"/>
          <w:b/>
          <w:color w:val="000000"/>
          <w:sz w:val="24"/>
          <w:szCs w:val="24"/>
          <w:lang w:val="ro-RO" w:eastAsia="ru-RU"/>
        </w:rPr>
        <w:t xml:space="preserve">poată: </w:t>
      </w:r>
      <w:r w:rsidRPr="00A16B8C">
        <w:rPr>
          <w:rFonts w:ascii="Times New Roman" w:eastAsia="Times New Roman" w:hAnsi="Times New Roman" w:cs="Times New Roman"/>
          <w:color w:val="000000"/>
          <w:sz w:val="24"/>
          <w:szCs w:val="24"/>
          <w:lang w:val="ro-RO" w:eastAsia="ru-RU"/>
        </w:rPr>
        <w:t>prescrie medicamentele cu influenţă asupra funcţiilor tubului digestiv și să le selecteze în patologia concretă.</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D. Nivelul iniţial de cunoştinţe necesar pentru integrarea in</w:t>
      </w:r>
      <w:r w:rsidRPr="00A16B8C">
        <w:rPr>
          <w:rFonts w:ascii="Times New Roman" w:eastAsia="Times New Roman" w:hAnsi="Times New Roman" w:cs="Times New Roman"/>
          <w:b/>
          <w:color w:val="000000"/>
          <w:sz w:val="24"/>
          <w:szCs w:val="24"/>
          <w:lang w:val="ro-RO" w:eastAsia="ru-RU"/>
        </w:rPr>
        <w:softHyphen/>
        <w:t>terdisciplinară</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Histologie. </w:t>
      </w:r>
      <w:r w:rsidRPr="00A16B8C">
        <w:rPr>
          <w:rFonts w:ascii="Times New Roman" w:eastAsia="Times New Roman" w:hAnsi="Times New Roman" w:cs="Times New Roman"/>
          <w:color w:val="000000"/>
          <w:sz w:val="24"/>
          <w:szCs w:val="24"/>
          <w:lang w:val="ro-RO" w:eastAsia="ru-RU"/>
        </w:rPr>
        <w:t xml:space="preserve">Caracteristica morfologică şi funcţională a diferitelor regiuni ale aparatului digestiv. Principiile generale ale structurii tubului digestiv: mucoasa, submucoasa, stratul muscular, seroasa. Caracteristica generală a mucoasei, structura ei. Particularităţile mucoasei în diferite regiuni ale tubului digestiv. Pancreasul. Caracteristica morfofuncţională. Structura pancreasului exocrin şi endocrin, vascularizarea şi inervaţia.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sz w:val="24"/>
          <w:szCs w:val="24"/>
          <w:lang w:val="ro-RO" w:eastAsia="ru-RU"/>
        </w:rPr>
        <w:t>Fiziologie.</w:t>
      </w:r>
      <w:r w:rsidRPr="00A16B8C">
        <w:rPr>
          <w:rFonts w:ascii="Times New Roman" w:eastAsia="Times New Roman" w:hAnsi="Times New Roman" w:cs="Times New Roman"/>
          <w:b/>
          <w:color w:val="000000"/>
          <w:sz w:val="24"/>
          <w:szCs w:val="24"/>
          <w:lang w:val="ro-RO" w:eastAsia="ru-RU"/>
        </w:rPr>
        <w:t xml:space="preserve"> </w:t>
      </w:r>
      <w:r w:rsidRPr="00A16B8C">
        <w:rPr>
          <w:rFonts w:ascii="Times New Roman" w:eastAsia="Times New Roman" w:hAnsi="Times New Roman" w:cs="Times New Roman"/>
          <w:color w:val="000000"/>
          <w:sz w:val="24"/>
          <w:szCs w:val="24"/>
          <w:lang w:val="ro-RO" w:eastAsia="ru-RU"/>
        </w:rPr>
        <w:t>Importanţa digestiei pentru organism. Bazele fiziologice ale fo</w:t>
      </w:r>
      <w:r w:rsidR="00DF23DB">
        <w:rPr>
          <w:rFonts w:ascii="Times New Roman" w:eastAsia="Times New Roman" w:hAnsi="Times New Roman" w:cs="Times New Roman"/>
          <w:color w:val="000000"/>
          <w:sz w:val="24"/>
          <w:szCs w:val="24"/>
          <w:lang w:val="ro-RO" w:eastAsia="ru-RU"/>
        </w:rPr>
        <w:t xml:space="preserve">amei, apetitului şi saţietăţii. </w:t>
      </w:r>
      <w:r w:rsidRPr="00A16B8C">
        <w:rPr>
          <w:rFonts w:ascii="Times New Roman" w:eastAsia="Times New Roman" w:hAnsi="Times New Roman" w:cs="Times New Roman"/>
          <w:color w:val="000000"/>
          <w:sz w:val="24"/>
          <w:szCs w:val="24"/>
          <w:lang w:val="ro-RO" w:eastAsia="ru-RU"/>
        </w:rPr>
        <w:t xml:space="preserve">Digestia în cavitatea bucală. Compoziţia şi proprietăţile salivei, enzimele ei. Digestia gastrică. Compoziţia şi proprietăţile sucului gastric, importanţa lui. Enzimele sucului gastric şi acţiunea lor. Mecanismul secreţii gastrice, reglarea ei. Fazele secreţiei sucului gastric. Influenţa factorilor umorali asupra glandelor stomacale. Enterogastrina, enterogastrona. Digestia duodenală. Rolul duodenului în digestie. Compoziţia şi proprietăţile sucului pancreatic, acţiunea lui asupra proteinelor, glucidelor, lipidelor, acizilor nucleici. Enterokinaza.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Biochimie. </w:t>
      </w:r>
      <w:r w:rsidRPr="00A16B8C">
        <w:rPr>
          <w:rFonts w:ascii="Times New Roman" w:eastAsia="Times New Roman" w:hAnsi="Times New Roman" w:cs="Times New Roman"/>
          <w:color w:val="000000"/>
          <w:sz w:val="24"/>
          <w:szCs w:val="24"/>
          <w:lang w:val="ro-RO" w:eastAsia="ru-RU"/>
        </w:rPr>
        <w:t>Substanţele nutritive de bază. Digerarea glucidelor, proteinelor, lipidelor. Absorbţia. Putrefacţia în intestin. Mecanismele biochimice de reglare a digestiei. Alimentaţia parenterală.</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Fiziopatologie. </w:t>
      </w:r>
      <w:r w:rsidRPr="00A16B8C">
        <w:rPr>
          <w:rFonts w:ascii="Times New Roman" w:eastAsia="Times New Roman" w:hAnsi="Times New Roman" w:cs="Times New Roman"/>
          <w:color w:val="000000"/>
          <w:sz w:val="24"/>
          <w:szCs w:val="24"/>
          <w:lang w:val="ro-RO" w:eastAsia="ru-RU"/>
        </w:rPr>
        <w:t xml:space="preserve">Insuficienţa digestivă, cauzele ei. Tulburările apetitului, digestiei stomacale (secreţiei, motilităţii, absorbţiei şi excreţiei). Dereglarea funcţiei digestive în duoden din cauza insuficienţei sucului pancreatic şi bilei. </w:t>
      </w:r>
    </w:p>
    <w:p w:rsidR="00A16B8C" w:rsidRPr="00A16B8C" w:rsidRDefault="00A16B8C" w:rsidP="00A16B8C">
      <w:pPr>
        <w:keepNext/>
        <w:widowControl w:val="0"/>
        <w:tabs>
          <w:tab w:val="left" w:pos="0"/>
          <w:tab w:val="left" w:pos="436"/>
        </w:tabs>
        <w:spacing w:after="0" w:line="240" w:lineRule="auto"/>
        <w:jc w:val="both"/>
        <w:outlineLvl w:val="3"/>
        <w:rPr>
          <w:rFonts w:ascii="Times New Roman" w:eastAsia="Times New Roman" w:hAnsi="Times New Roman" w:cs="Times New Roman"/>
          <w:b/>
          <w:color w:val="000000"/>
          <w:sz w:val="24"/>
          <w:szCs w:val="24"/>
          <w:lang w:val="ro-RO" w:eastAsia="x-none"/>
        </w:rPr>
      </w:pPr>
      <w:r w:rsidRPr="00A16B8C">
        <w:rPr>
          <w:rFonts w:ascii="Times New Roman" w:eastAsia="Times New Roman" w:hAnsi="Times New Roman" w:cs="Times New Roman"/>
          <w:b/>
          <w:color w:val="000000"/>
          <w:sz w:val="24"/>
          <w:szCs w:val="24"/>
          <w:lang w:val="ro-RO" w:eastAsia="x-none"/>
        </w:rPr>
        <w:tab/>
      </w:r>
      <w:r w:rsidRPr="00A16B8C">
        <w:rPr>
          <w:rFonts w:ascii="Times New Roman" w:eastAsia="Times New Roman" w:hAnsi="Times New Roman" w:cs="Times New Roman"/>
          <w:b/>
          <w:color w:val="000000"/>
          <w:sz w:val="24"/>
          <w:szCs w:val="24"/>
          <w:lang w:val="ro-RO" w:eastAsia="x-none"/>
        </w:rPr>
        <w:tab/>
        <w:t>E. Întrebări pentru autoinstruire</w:t>
      </w:r>
      <w:r w:rsidRPr="00A16B8C">
        <w:rPr>
          <w:rFonts w:ascii="Times New Roman" w:eastAsia="Times New Roman" w:hAnsi="Times New Roman" w:cs="Times New Roman"/>
          <w:b/>
          <w:color w:val="000000"/>
          <w:sz w:val="24"/>
          <w:szCs w:val="24"/>
          <w:lang w:val="ro-RO" w:eastAsia="x-none"/>
        </w:rPr>
        <w:tab/>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1. Clasificarea medicamentelor cu influenţă asupra funcţiilor tubului digestiv.</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x-none"/>
        </w:rPr>
      </w:pPr>
      <w:r w:rsidRPr="00A16B8C">
        <w:rPr>
          <w:rFonts w:ascii="Times New Roman" w:eastAsia="Times New Roman" w:hAnsi="Times New Roman" w:cs="Times New Roman"/>
          <w:color w:val="000000"/>
          <w:sz w:val="24"/>
          <w:szCs w:val="24"/>
          <w:lang w:val="ro-RO" w:eastAsia="x-none"/>
        </w:rPr>
        <w:t>2. Medicamentele orexigene. Clasificarea. Mecanismul acţiunii. Indicaţii.</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3. Medicamentele anorexigene. Clasificarea. Mecanismul acţiunii. Indicaţiile. Contraindicaţii. Reacţii adverse.</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4. Medicamentele ce stimulează secreţia de suc gastric. Clasificarea. Caracteristica comparativă a sucului gastric, pepsinei, acidinpepsinei, abominei, panzinormului, festalului, orazei, mexazei.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5. Preparatele de substituție în hipofuncția pancreasului. Clasificarea, mecanismul de acțiune, efectele, indicațiile și reacțiile adverse.</w:t>
      </w:r>
    </w:p>
    <w:p w:rsidR="00A16B8C" w:rsidRPr="00A16B8C" w:rsidRDefault="00DF23DB" w:rsidP="00A16B8C">
      <w:pPr>
        <w:widowControl w:val="0"/>
        <w:tabs>
          <w:tab w:val="left" w:pos="436"/>
        </w:tabs>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b/>
      </w:r>
      <w:r>
        <w:rPr>
          <w:rFonts w:ascii="Times New Roman" w:eastAsia="Times New Roman" w:hAnsi="Times New Roman" w:cs="Times New Roman"/>
          <w:color w:val="000000"/>
          <w:sz w:val="24"/>
          <w:szCs w:val="24"/>
          <w:lang w:val="ro-RO" w:eastAsia="ru-RU"/>
        </w:rPr>
        <w:tab/>
        <w:t xml:space="preserve">6. Medicamentele </w:t>
      </w:r>
      <w:r w:rsidR="00A16B8C" w:rsidRPr="00A16B8C">
        <w:rPr>
          <w:rFonts w:ascii="Times New Roman" w:eastAsia="Times New Roman" w:hAnsi="Times New Roman" w:cs="Times New Roman"/>
          <w:color w:val="000000"/>
          <w:sz w:val="24"/>
          <w:szCs w:val="24"/>
          <w:lang w:val="ro-RO" w:eastAsia="ru-RU"/>
        </w:rPr>
        <w:t xml:space="preserve">care inhibă secreţia gastrică. Clasificarea.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7. Caracteristica comparativă a acţiunii M-colinoblocantelor şi H</w:t>
      </w:r>
      <w:r w:rsidRPr="00A16B8C">
        <w:rPr>
          <w:rFonts w:ascii="Times New Roman" w:eastAsia="Times New Roman" w:hAnsi="Times New Roman" w:cs="Times New Roman"/>
          <w:color w:val="000000"/>
          <w:sz w:val="24"/>
          <w:szCs w:val="24"/>
          <w:vertAlign w:val="subscript"/>
          <w:lang w:val="ro-RO" w:eastAsia="ru-RU"/>
        </w:rPr>
        <w:t>2</w:t>
      </w:r>
      <w:r w:rsidRPr="00A16B8C">
        <w:rPr>
          <w:rFonts w:ascii="Times New Roman" w:eastAsia="Times New Roman" w:hAnsi="Times New Roman" w:cs="Times New Roman"/>
          <w:color w:val="000000"/>
          <w:sz w:val="24"/>
          <w:szCs w:val="24"/>
          <w:lang w:val="ro-RO" w:eastAsia="ru-RU"/>
        </w:rPr>
        <w:t>-histaminoblocantelor în hipersecreţia gastrică.</w:t>
      </w:r>
    </w:p>
    <w:p w:rsidR="00A16B8C" w:rsidRPr="00A16B8C" w:rsidRDefault="00A16B8C" w:rsidP="00A16B8C">
      <w:pPr>
        <w:widowControl w:val="0"/>
        <w:tabs>
          <w:tab w:val="left" w:pos="0"/>
        </w:tabs>
        <w:spacing w:after="0" w:line="240" w:lineRule="auto"/>
        <w:jc w:val="both"/>
        <w:rPr>
          <w:rFonts w:ascii="Times New Roman" w:eastAsia="Times New Roman" w:hAnsi="Times New Roman" w:cs="Times New Roman"/>
          <w:color w:val="000000"/>
          <w:sz w:val="24"/>
          <w:szCs w:val="24"/>
          <w:lang w:val="ro-RO" w:eastAsia="x-none"/>
        </w:rPr>
      </w:pPr>
      <w:r w:rsidRPr="00A16B8C">
        <w:rPr>
          <w:rFonts w:ascii="Times New Roman" w:eastAsia="Times New Roman" w:hAnsi="Times New Roman" w:cs="Times New Roman"/>
          <w:color w:val="000000"/>
          <w:sz w:val="24"/>
          <w:szCs w:val="24"/>
          <w:lang w:val="ro-RO" w:eastAsia="x-none"/>
        </w:rPr>
        <w:tab/>
        <w:t>8. Caracteristica medicamentelor cu acţiune antigastrinică, inhibitorilor pompei protonice, analogilor prostaglandinelor şi derivaţilor lor sintetici.</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9. Antiacidele. Clasificarea, mecanismul de acțiune, efectele, indicațiile și reacțiile adverse.</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10. Gastroduodenoprotectoarele şi citoprotectoarele. Clasificarea, mecanismul de acțiune, efectele și indicațiile sucralfatului, preparatelor de bismut, prostaglandinelor, medicamentelor de </w:t>
      </w:r>
      <w:r w:rsidRPr="00A16B8C">
        <w:rPr>
          <w:rFonts w:ascii="Times New Roman" w:eastAsia="Times New Roman" w:hAnsi="Times New Roman" w:cs="Times New Roman"/>
          <w:color w:val="000000"/>
          <w:sz w:val="24"/>
          <w:szCs w:val="24"/>
          <w:lang w:val="ro-RO" w:eastAsia="ru-RU"/>
        </w:rPr>
        <w:lastRenderedPageBreak/>
        <w:t xml:space="preserve">origine vegetală, medicamentelor sintetice, vitaminelor și anabolizantelor.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11. Clasificarea medicamentelor antiulceroase.</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12. Medicamentele ce inhibă funcţia excretoare a pancreasului. Caracteristica.</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b/>
          <w:sz w:val="24"/>
          <w:szCs w:val="24"/>
          <w:lang w:val="en-US" w:eastAsia="ru-RU"/>
        </w:rPr>
      </w:pPr>
      <w:r w:rsidRPr="00A16B8C">
        <w:rPr>
          <w:rFonts w:ascii="Times New Roman" w:eastAsia="Times New Roman" w:hAnsi="Times New Roman" w:cs="Times New Roman"/>
          <w:b/>
          <w:color w:val="000000"/>
          <w:sz w:val="24"/>
          <w:szCs w:val="24"/>
          <w:lang w:val="ro-RO" w:eastAsia="ru-RU"/>
        </w:rPr>
        <w:t xml:space="preserve">F. Lucru de sine stătător </w:t>
      </w:r>
      <w:r w:rsidRPr="00A16B8C">
        <w:rPr>
          <w:rFonts w:ascii="Times New Roman" w:eastAsia="Times New Roman" w:hAnsi="Times New Roman" w:cs="Times New Roman"/>
          <w:color w:val="000000"/>
          <w:sz w:val="24"/>
          <w:szCs w:val="24"/>
          <w:lang w:val="en-US" w:eastAsia="ru-RU"/>
        </w:rPr>
        <w:t xml:space="preserve">(se </w:t>
      </w:r>
      <w:proofErr w:type="spellStart"/>
      <w:r w:rsidRPr="00A16B8C">
        <w:rPr>
          <w:rFonts w:ascii="Times New Roman" w:eastAsia="Times New Roman" w:hAnsi="Times New Roman" w:cs="Times New Roman"/>
          <w:color w:val="000000"/>
          <w:sz w:val="24"/>
          <w:szCs w:val="24"/>
          <w:lang w:val="en-US" w:eastAsia="ru-RU"/>
        </w:rPr>
        <w:t>realizează</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în</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scris</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în</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procesul</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pregătirii</w:t>
      </w:r>
      <w:proofErr w:type="spellEnd"/>
      <w:r w:rsidRPr="00A16B8C">
        <w:rPr>
          <w:rFonts w:ascii="Times New Roman" w:eastAsia="Times New Roman" w:hAnsi="Times New Roman" w:cs="Times New Roman"/>
          <w:color w:val="000000"/>
          <w:sz w:val="24"/>
          <w:szCs w:val="24"/>
          <w:lang w:val="en-US" w:eastAsia="ru-RU"/>
        </w:rPr>
        <w:t>)</w:t>
      </w:r>
    </w:p>
    <w:p w:rsidR="00A16B8C" w:rsidRPr="00A16B8C" w:rsidRDefault="00A16B8C" w:rsidP="00A16B8C">
      <w:pPr>
        <w:widowControl w:val="0"/>
        <w:tabs>
          <w:tab w:val="left" w:pos="851"/>
        </w:tabs>
        <w:spacing w:after="0" w:line="240" w:lineRule="auto"/>
        <w:ind w:left="709"/>
        <w:jc w:val="both"/>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1) Caracteristica succintă a medicamentelor obligatorii</w:t>
      </w:r>
    </w:p>
    <w:p w:rsidR="00A16B8C" w:rsidRPr="00A16B8C" w:rsidRDefault="00A16B8C" w:rsidP="00A16B8C">
      <w:pPr>
        <w:widowControl w:val="0"/>
        <w:spacing w:after="0" w:line="240" w:lineRule="auto"/>
        <w:ind w:firstLine="708"/>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Pe verticală:</w:t>
      </w:r>
      <w:r w:rsidRPr="00A16B8C">
        <w:rPr>
          <w:rFonts w:ascii="Times New Roman" w:eastAsia="Times New Roman" w:hAnsi="Times New Roman" w:cs="Times New Roman"/>
          <w:color w:val="000000"/>
          <w:sz w:val="24"/>
          <w:szCs w:val="24"/>
          <w:lang w:val="ro-RO" w:eastAsia="ru-RU"/>
        </w:rPr>
        <w:t xml:space="preserve"> Denumirea medicamentului. 1. Ciproheptadină. 2.Amfepramon. </w:t>
      </w:r>
      <w:r w:rsidR="00691B46">
        <w:rPr>
          <w:rFonts w:ascii="Times New Roman" w:eastAsia="Times New Roman" w:hAnsi="Times New Roman" w:cs="Times New Roman"/>
          <w:color w:val="000000"/>
          <w:sz w:val="24"/>
          <w:szCs w:val="24"/>
          <w:lang w:val="ro-RO" w:eastAsia="ru-RU"/>
        </w:rPr>
        <w:t>3. Ranitidină. 4. Famotidină. 5. Almagel. 6. Hidroxid de magneziu. 7. Omeprazol. 8. Sucralfat. 9</w:t>
      </w:r>
      <w:r w:rsidRPr="00A16B8C">
        <w:rPr>
          <w:rFonts w:ascii="Times New Roman" w:eastAsia="Times New Roman" w:hAnsi="Times New Roman" w:cs="Times New Roman"/>
          <w:color w:val="000000"/>
          <w:sz w:val="24"/>
          <w:szCs w:val="24"/>
          <w:lang w:val="ro-RO" w:eastAsia="ru-RU"/>
        </w:rPr>
        <w:t xml:space="preserve">. </w:t>
      </w:r>
      <w:r w:rsidR="00691B46">
        <w:rPr>
          <w:rFonts w:ascii="Times New Roman" w:eastAsia="Times New Roman" w:hAnsi="Times New Roman" w:cs="Times New Roman"/>
          <w:color w:val="000000"/>
          <w:sz w:val="24"/>
          <w:szCs w:val="24"/>
          <w:lang w:val="ro-RO" w:eastAsia="ru-RU"/>
        </w:rPr>
        <w:t>Subcitrat de bismut coloidal. 10. Regesan. 11. Panzinorm. 12. Pancreatină. 13. Creon. 14</w:t>
      </w:r>
      <w:bookmarkStart w:id="0" w:name="_GoBack"/>
      <w:bookmarkEnd w:id="0"/>
      <w:r w:rsidRPr="00A16B8C">
        <w:rPr>
          <w:rFonts w:ascii="Times New Roman" w:eastAsia="Times New Roman" w:hAnsi="Times New Roman" w:cs="Times New Roman"/>
          <w:color w:val="000000"/>
          <w:sz w:val="24"/>
          <w:szCs w:val="24"/>
          <w:lang w:val="ro-RO" w:eastAsia="ru-RU"/>
        </w:rPr>
        <w:t xml:space="preserve">. Aprotinină. </w:t>
      </w:r>
    </w:p>
    <w:p w:rsidR="00A16B8C" w:rsidRPr="00A16B8C" w:rsidRDefault="00A16B8C" w:rsidP="00A16B8C">
      <w:pPr>
        <w:widowControl w:val="0"/>
        <w:spacing w:after="0" w:line="240" w:lineRule="auto"/>
        <w:ind w:firstLine="708"/>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i/>
          <w:color w:val="000000"/>
          <w:sz w:val="24"/>
          <w:szCs w:val="24"/>
          <w:lang w:val="ro-RO" w:eastAsia="ru-RU"/>
        </w:rPr>
        <w:t>Medicamentele cu acțiune referitoare la temă, să fie revăzute în compartimentele anterioare:</w:t>
      </w:r>
      <w:r w:rsidRPr="00A16B8C">
        <w:rPr>
          <w:rFonts w:ascii="Times New Roman" w:eastAsia="Times New Roman" w:hAnsi="Times New Roman" w:cs="Times New Roman"/>
          <w:color w:val="000000"/>
          <w:sz w:val="24"/>
          <w:szCs w:val="24"/>
          <w:lang w:val="ro-RO" w:eastAsia="ru-RU"/>
        </w:rPr>
        <w:t xml:space="preserve"> 1. Atropină sulfat. 2. Pirenzepină.</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Pe orizontală:</w:t>
      </w:r>
      <w:r w:rsidRPr="00A16B8C">
        <w:rPr>
          <w:rFonts w:ascii="Times New Roman" w:eastAsia="Times New Roman" w:hAnsi="Times New Roman" w:cs="Times New Roman"/>
          <w:color w:val="000000"/>
          <w:sz w:val="24"/>
          <w:szCs w:val="24"/>
          <w:lang w:val="ro-RO" w:eastAsia="ru-RU"/>
        </w:rPr>
        <w:t xml:space="preserve"> 1. Forma medicamentoasă. 2. Modul de admi</w:t>
      </w:r>
      <w:r w:rsidRPr="00A16B8C">
        <w:rPr>
          <w:rFonts w:ascii="Times New Roman" w:eastAsia="Times New Roman" w:hAnsi="Times New Roman" w:cs="Times New Roman"/>
          <w:color w:val="000000"/>
          <w:sz w:val="24"/>
          <w:szCs w:val="24"/>
          <w:lang w:val="ro-RO" w:eastAsia="ru-RU"/>
        </w:rPr>
        <w:softHyphen/>
        <w:t>nistrare. 3. Dozele (maximă pentru o priză şi pentru 24 de ore, tera</w:t>
      </w:r>
      <w:r w:rsidRPr="00A16B8C">
        <w:rPr>
          <w:rFonts w:ascii="Times New Roman" w:eastAsia="Times New Roman" w:hAnsi="Times New Roman" w:cs="Times New Roman"/>
          <w:color w:val="000000"/>
          <w:sz w:val="24"/>
          <w:szCs w:val="24"/>
          <w:lang w:val="ro-RO" w:eastAsia="ru-RU"/>
        </w:rPr>
        <w:softHyphen/>
        <w:t>peutică). 4. Mecanismul de acţiune. 5. Indicaţiile. 6. Contraindicaţiile. 7. Reacţiile adverse.</w:t>
      </w:r>
    </w:p>
    <w:p w:rsidR="00A16B8C" w:rsidRPr="00A16B8C" w:rsidRDefault="00A16B8C" w:rsidP="00A16B8C">
      <w:pPr>
        <w:widowControl w:val="0"/>
        <w:spacing w:after="0" w:line="240" w:lineRule="auto"/>
        <w:ind w:left="709"/>
        <w:jc w:val="both"/>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2) Exerciţii de receptură medicală</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Să se prescrie</w:t>
      </w:r>
      <w:r w:rsidRPr="00A16B8C">
        <w:rPr>
          <w:rFonts w:ascii="Times New Roman" w:eastAsia="Times New Roman" w:hAnsi="Times New Roman" w:cs="Times New Roman"/>
          <w:color w:val="000000"/>
          <w:sz w:val="24"/>
          <w:szCs w:val="24"/>
          <w:lang w:val="ro-RO" w:eastAsia="ru-RU"/>
        </w:rPr>
        <w:t xml:space="preserve"> următoarele medicamente în toate formele medicamentoase:           </w:t>
      </w:r>
    </w:p>
    <w:p w:rsidR="00A16B8C" w:rsidRPr="00041858" w:rsidRDefault="00A16B8C" w:rsidP="00A16B8C">
      <w:pPr>
        <w:widowControl w:val="0"/>
        <w:spacing w:after="0" w:line="240" w:lineRule="auto"/>
        <w:ind w:firstLine="708"/>
        <w:jc w:val="both"/>
        <w:rPr>
          <w:rFonts w:ascii="Times New Roman" w:eastAsia="Times New Roman" w:hAnsi="Times New Roman" w:cs="Times New Roman"/>
          <w:color w:val="000000"/>
          <w:sz w:val="24"/>
          <w:szCs w:val="24"/>
          <w:u w:val="single"/>
          <w:lang w:val="ro-RO" w:eastAsia="ru-RU"/>
        </w:rPr>
      </w:pPr>
      <w:r w:rsidRPr="00A16B8C">
        <w:rPr>
          <w:rFonts w:ascii="Times New Roman" w:eastAsia="Times New Roman" w:hAnsi="Times New Roman" w:cs="Times New Roman"/>
          <w:color w:val="000000"/>
          <w:sz w:val="24"/>
          <w:szCs w:val="24"/>
          <w:lang w:val="ro-RO" w:eastAsia="ru-RU"/>
        </w:rPr>
        <w:t xml:space="preserve">1. Ciproheptadină. 2. Amfepramon. </w:t>
      </w:r>
      <w:r w:rsidR="008D63C4">
        <w:rPr>
          <w:rFonts w:ascii="Times New Roman" w:eastAsia="Times New Roman" w:hAnsi="Times New Roman" w:cs="Times New Roman"/>
          <w:color w:val="000000"/>
          <w:sz w:val="24"/>
          <w:szCs w:val="24"/>
          <w:lang w:val="ro-RO" w:eastAsia="ru-RU"/>
        </w:rPr>
        <w:t>3. Atropină sulfat. 4. Pirenzepină. 5. Ranitidină. 6. Famotidină. 7. Almagel. 8. Hidroxid de magneziu. 9. Omeprazol. 10. Sucralfat. 11</w:t>
      </w:r>
      <w:r w:rsidRPr="00A16B8C">
        <w:rPr>
          <w:rFonts w:ascii="Times New Roman" w:eastAsia="Times New Roman" w:hAnsi="Times New Roman" w:cs="Times New Roman"/>
          <w:color w:val="000000"/>
          <w:sz w:val="24"/>
          <w:szCs w:val="24"/>
          <w:lang w:val="ro-RO" w:eastAsia="ru-RU"/>
        </w:rPr>
        <w:t xml:space="preserve">. </w:t>
      </w:r>
      <w:r w:rsidR="008D63C4">
        <w:rPr>
          <w:rFonts w:ascii="Times New Roman" w:eastAsia="Times New Roman" w:hAnsi="Times New Roman" w:cs="Times New Roman"/>
          <w:color w:val="000000"/>
          <w:sz w:val="24"/>
          <w:szCs w:val="24"/>
          <w:lang w:val="ro-RO" w:eastAsia="ru-RU"/>
        </w:rPr>
        <w:t>Subcitrat de bismut coloidal. 12. Regesan. 13. Panzinorm. 14. Pancreatină. 15</w:t>
      </w:r>
      <w:r w:rsidRPr="00A16B8C">
        <w:rPr>
          <w:rFonts w:ascii="Times New Roman" w:eastAsia="Times New Roman" w:hAnsi="Times New Roman" w:cs="Times New Roman"/>
          <w:color w:val="000000"/>
          <w:sz w:val="24"/>
          <w:szCs w:val="24"/>
          <w:lang w:val="ro-RO" w:eastAsia="ru-RU"/>
        </w:rPr>
        <w:t xml:space="preserve">. </w:t>
      </w:r>
      <w:r w:rsidR="008D63C4" w:rsidRPr="008D63C4">
        <w:rPr>
          <w:rFonts w:ascii="Times New Roman" w:eastAsia="Times New Roman" w:hAnsi="Times New Roman" w:cs="Times New Roman"/>
          <w:sz w:val="24"/>
          <w:szCs w:val="24"/>
          <w:lang w:val="ro-RO" w:eastAsia="ru-RU"/>
        </w:rPr>
        <w:t>Creon</w:t>
      </w:r>
      <w:r w:rsidRPr="008D63C4">
        <w:rPr>
          <w:rFonts w:ascii="Times New Roman" w:eastAsia="Times New Roman" w:hAnsi="Times New Roman" w:cs="Times New Roman"/>
          <w:sz w:val="24"/>
          <w:szCs w:val="24"/>
          <w:lang w:val="ro-RO" w:eastAsia="ru-RU"/>
        </w:rPr>
        <w:t xml:space="preserve">. </w:t>
      </w:r>
      <w:r w:rsidR="008D63C4">
        <w:rPr>
          <w:rFonts w:ascii="Times New Roman" w:eastAsia="Times New Roman" w:hAnsi="Times New Roman" w:cs="Times New Roman"/>
          <w:color w:val="000000"/>
          <w:sz w:val="24"/>
          <w:szCs w:val="24"/>
          <w:lang w:val="ro-RO" w:eastAsia="ru-RU"/>
        </w:rPr>
        <w:t>16</w:t>
      </w:r>
      <w:r w:rsidRPr="00A16B8C">
        <w:rPr>
          <w:rFonts w:ascii="Times New Roman" w:eastAsia="Times New Roman" w:hAnsi="Times New Roman" w:cs="Times New Roman"/>
          <w:color w:val="000000"/>
          <w:sz w:val="24"/>
          <w:szCs w:val="24"/>
          <w:lang w:val="ro-RO" w:eastAsia="ru-RU"/>
        </w:rPr>
        <w:t xml:space="preserve">. Aprotinină. </w:t>
      </w:r>
    </w:p>
    <w:p w:rsidR="00A16B8C" w:rsidRPr="00A16B8C" w:rsidRDefault="00A16B8C" w:rsidP="00A16B8C">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Medicamente utilizate în (pentru):</w:t>
      </w:r>
      <w:r w:rsidRPr="00A16B8C">
        <w:rPr>
          <w:rFonts w:ascii="Times New Roman" w:eastAsia="Times New Roman" w:hAnsi="Times New Roman" w:cs="Times New Roman"/>
          <w:color w:val="000000"/>
          <w:sz w:val="24"/>
          <w:szCs w:val="24"/>
          <w:lang w:val="ro-RO" w:eastAsia="ru-RU"/>
        </w:rPr>
        <w:t xml:space="preserve"> anorexie, obezitatea alimentară, </w:t>
      </w:r>
      <w:r w:rsidR="00920E35">
        <w:rPr>
          <w:rFonts w:ascii="Times New Roman" w:eastAsia="Times New Roman" w:hAnsi="Times New Roman" w:cs="Times New Roman"/>
          <w:color w:val="000000"/>
          <w:sz w:val="24"/>
          <w:szCs w:val="24"/>
          <w:lang w:val="ro-RO" w:eastAsia="ru-RU"/>
        </w:rPr>
        <w:t xml:space="preserve">hipotrofii la copii, </w:t>
      </w:r>
      <w:r w:rsidR="00DE6B32">
        <w:rPr>
          <w:rFonts w:ascii="Times New Roman" w:eastAsia="Times New Roman" w:hAnsi="Times New Roman" w:cs="Times New Roman"/>
          <w:color w:val="000000"/>
          <w:sz w:val="24"/>
          <w:szCs w:val="24"/>
          <w:lang w:val="ro-RO" w:eastAsia="ru-RU"/>
        </w:rPr>
        <w:t xml:space="preserve">gastrită hipoacidă, </w:t>
      </w:r>
      <w:r w:rsidR="00920E35">
        <w:rPr>
          <w:rFonts w:ascii="Times New Roman" w:eastAsia="Times New Roman" w:hAnsi="Times New Roman" w:cs="Times New Roman"/>
          <w:color w:val="000000"/>
          <w:sz w:val="24"/>
          <w:szCs w:val="24"/>
          <w:lang w:val="ro-RO" w:eastAsia="ru-RU"/>
        </w:rPr>
        <w:t xml:space="preserve">esofagita de reflux (boala de reflux esofagian), sindromul Zollinger-Elison, </w:t>
      </w:r>
      <w:r w:rsidR="00A86E75">
        <w:rPr>
          <w:rFonts w:ascii="Times New Roman" w:eastAsia="Times New Roman" w:hAnsi="Times New Roman" w:cs="Times New Roman"/>
          <w:color w:val="000000"/>
          <w:sz w:val="24"/>
          <w:szCs w:val="24"/>
          <w:lang w:val="ro-RO" w:eastAsia="ru-RU"/>
        </w:rPr>
        <w:t>ulcer duodenal,</w:t>
      </w:r>
      <w:r w:rsidRPr="00A16B8C">
        <w:rPr>
          <w:rFonts w:ascii="Times New Roman" w:eastAsia="Times New Roman" w:hAnsi="Times New Roman" w:cs="Times New Roman"/>
          <w:color w:val="000000"/>
          <w:sz w:val="24"/>
          <w:szCs w:val="24"/>
          <w:lang w:val="ro-RO" w:eastAsia="ru-RU"/>
        </w:rPr>
        <w:t xml:space="preserve"> pancreatita acută, </w:t>
      </w:r>
      <w:r w:rsidR="00A86E75">
        <w:rPr>
          <w:rFonts w:ascii="Times New Roman" w:eastAsia="Times New Roman" w:hAnsi="Times New Roman" w:cs="Times New Roman"/>
          <w:color w:val="000000"/>
          <w:sz w:val="24"/>
          <w:szCs w:val="24"/>
          <w:lang w:val="ro-RO" w:eastAsia="ru-RU"/>
        </w:rPr>
        <w:t>pancreatita cronică, gastroprotectoare în ulcer gastric, antisecretoare în ulcer duodenal.</w:t>
      </w:r>
    </w:p>
    <w:p w:rsidR="00A16B8C" w:rsidRPr="00A16B8C" w:rsidRDefault="00A16B8C" w:rsidP="00A16B8C">
      <w:pPr>
        <w:spacing w:after="0"/>
        <w:ind w:firstLine="709"/>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3) Teste. </w:t>
      </w:r>
      <w:r w:rsidRPr="00A16B8C">
        <w:rPr>
          <w:rFonts w:ascii="Times New Roman" w:eastAsia="Times New Roman" w:hAnsi="Times New Roman" w:cs="Times New Roman"/>
          <w:color w:val="000000"/>
          <w:sz w:val="24"/>
          <w:szCs w:val="24"/>
          <w:lang w:val="fr-FR" w:eastAsia="ru-RU"/>
        </w:rPr>
        <w:t xml:space="preserve">Îndrumar pentru lucrări de laborator la farmacologie. Chişinău 2016, </w:t>
      </w:r>
      <w:r w:rsidRPr="00A16B8C">
        <w:rPr>
          <w:rFonts w:ascii="Times New Roman" w:eastAsia="Times New Roman" w:hAnsi="Times New Roman" w:cs="Times New Roman"/>
          <w:color w:val="000000"/>
          <w:sz w:val="24"/>
          <w:szCs w:val="24"/>
          <w:lang w:val="ro-RO" w:eastAsia="ru-RU"/>
        </w:rPr>
        <w:t>pag. 205-212.</w:t>
      </w:r>
    </w:p>
    <w:p w:rsidR="00A16B8C" w:rsidRPr="00A16B8C" w:rsidRDefault="00A16B8C" w:rsidP="00A16B8C">
      <w:pPr>
        <w:spacing w:after="0"/>
        <w:ind w:firstLine="709"/>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4) Caz clinic. </w:t>
      </w:r>
      <w:r w:rsidRPr="00A16B8C">
        <w:rPr>
          <w:rFonts w:ascii="Times New Roman" w:eastAsia="Times New Roman" w:hAnsi="Times New Roman" w:cs="Times New Roman"/>
          <w:color w:val="000000"/>
          <w:sz w:val="24"/>
          <w:szCs w:val="24"/>
          <w:lang w:val="fr-FR" w:eastAsia="ru-RU"/>
        </w:rPr>
        <w:t xml:space="preserve">Îndrumar pentru lucrări de laborator la farmacologie. Chişinău 2016, </w:t>
      </w:r>
      <w:r w:rsidRPr="00A16B8C">
        <w:rPr>
          <w:rFonts w:ascii="Times New Roman" w:eastAsia="Times New Roman" w:hAnsi="Times New Roman" w:cs="Times New Roman"/>
          <w:color w:val="000000"/>
          <w:sz w:val="24"/>
          <w:szCs w:val="24"/>
          <w:lang w:val="ro-RO" w:eastAsia="ru-RU"/>
        </w:rPr>
        <w:t>pag.213.</w:t>
      </w:r>
    </w:p>
    <w:p w:rsidR="00A16B8C" w:rsidRPr="00A16B8C" w:rsidRDefault="00A16B8C" w:rsidP="00A16B8C">
      <w:pPr>
        <w:spacing w:after="0"/>
        <w:ind w:firstLine="709"/>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5) Situaţii virtuale. </w:t>
      </w:r>
      <w:r w:rsidRPr="00A16B8C">
        <w:rPr>
          <w:rFonts w:ascii="Times New Roman" w:eastAsia="Times New Roman" w:hAnsi="Times New Roman" w:cs="Times New Roman"/>
          <w:color w:val="000000"/>
          <w:sz w:val="24"/>
          <w:szCs w:val="24"/>
          <w:lang w:val="fr-FR" w:eastAsia="ru-RU"/>
        </w:rPr>
        <w:t xml:space="preserve">Îndrumar pentru lucrări de laborator la farmacologie. Chişinău 2016, </w:t>
      </w:r>
      <w:r w:rsidRPr="00A16B8C">
        <w:rPr>
          <w:rFonts w:ascii="Times New Roman" w:eastAsia="Times New Roman" w:hAnsi="Times New Roman" w:cs="Times New Roman"/>
          <w:color w:val="000000"/>
          <w:sz w:val="24"/>
          <w:szCs w:val="24"/>
          <w:lang w:val="ro-RO" w:eastAsia="ru-RU"/>
        </w:rPr>
        <w:t>pag.214-217.</w:t>
      </w:r>
    </w:p>
    <w:p w:rsidR="00A16B8C" w:rsidRPr="00A16B8C" w:rsidRDefault="00A16B8C" w:rsidP="00A16B8C">
      <w:pPr>
        <w:spacing w:after="0"/>
        <w:ind w:firstLine="709"/>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6) Film didactic experimental şi virtual </w:t>
      </w:r>
      <w:r w:rsidRPr="00A16B8C">
        <w:rPr>
          <w:rFonts w:ascii="Times New Roman" w:eastAsia="Times New Roman" w:hAnsi="Times New Roman" w:cs="Times New Roman"/>
          <w:color w:val="000000"/>
          <w:sz w:val="24"/>
          <w:szCs w:val="24"/>
          <w:lang w:val="en-US" w:eastAsia="ru-RU"/>
        </w:rPr>
        <w:t>(</w:t>
      </w:r>
      <w:proofErr w:type="spellStart"/>
      <w:r w:rsidRPr="00A16B8C">
        <w:rPr>
          <w:rFonts w:ascii="Times New Roman" w:eastAsia="Times New Roman" w:hAnsi="Times New Roman" w:cs="Times New Roman"/>
          <w:color w:val="000000"/>
          <w:sz w:val="24"/>
          <w:szCs w:val="24"/>
          <w:lang w:val="en-US" w:eastAsia="ru-RU"/>
        </w:rPr>
        <w:t>în</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timpul</w:t>
      </w:r>
      <w:proofErr w:type="spellEnd"/>
      <w:r w:rsidRPr="00A16B8C">
        <w:rPr>
          <w:rFonts w:ascii="Times New Roman" w:eastAsia="Times New Roman" w:hAnsi="Times New Roman" w:cs="Times New Roman"/>
          <w:color w:val="000000"/>
          <w:sz w:val="24"/>
          <w:szCs w:val="24"/>
          <w:lang w:val="en-US" w:eastAsia="ru-RU"/>
        </w:rPr>
        <w:t xml:space="preserve"> </w:t>
      </w:r>
      <w:proofErr w:type="spellStart"/>
      <w:r w:rsidRPr="00A16B8C">
        <w:rPr>
          <w:rFonts w:ascii="Times New Roman" w:eastAsia="Times New Roman" w:hAnsi="Times New Roman" w:cs="Times New Roman"/>
          <w:color w:val="000000"/>
          <w:sz w:val="24"/>
          <w:szCs w:val="24"/>
          <w:lang w:val="en-US" w:eastAsia="ru-RU"/>
        </w:rPr>
        <w:t>seminarului</w:t>
      </w:r>
      <w:proofErr w:type="spellEnd"/>
      <w:r w:rsidRPr="00A16B8C">
        <w:rPr>
          <w:rFonts w:ascii="Times New Roman" w:eastAsia="Times New Roman" w:hAnsi="Times New Roman" w:cs="Times New Roman"/>
          <w:color w:val="000000"/>
          <w:sz w:val="24"/>
          <w:szCs w:val="24"/>
          <w:lang w:val="en-US" w:eastAsia="ru-RU"/>
        </w:rPr>
        <w:t xml:space="preserve">: protocol, </w:t>
      </w:r>
      <w:proofErr w:type="spellStart"/>
      <w:r w:rsidRPr="00A16B8C">
        <w:rPr>
          <w:rFonts w:ascii="Times New Roman" w:eastAsia="Times New Roman" w:hAnsi="Times New Roman" w:cs="Times New Roman"/>
          <w:color w:val="000000"/>
          <w:sz w:val="24"/>
          <w:szCs w:val="24"/>
          <w:lang w:val="en-US" w:eastAsia="ru-RU"/>
        </w:rPr>
        <w:t>concluzii</w:t>
      </w:r>
      <w:proofErr w:type="spellEnd"/>
      <w:r w:rsidRPr="00A16B8C">
        <w:rPr>
          <w:rFonts w:ascii="Times New Roman" w:eastAsia="Times New Roman" w:hAnsi="Times New Roman" w:cs="Times New Roman"/>
          <w:color w:val="000000"/>
          <w:sz w:val="24"/>
          <w:szCs w:val="24"/>
          <w:lang w:val="en-US" w:eastAsia="ru-RU"/>
        </w:rPr>
        <w:t>)</w:t>
      </w:r>
    </w:p>
    <w:p w:rsidR="00A16B8C" w:rsidRPr="00A16B8C" w:rsidRDefault="00A16B8C" w:rsidP="00A16B8C">
      <w:pPr>
        <w:spacing w:after="0"/>
        <w:ind w:firstLine="709"/>
        <w:jc w:val="both"/>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7) Tabele</w:t>
      </w:r>
      <w:r w:rsidRPr="00A16B8C">
        <w:rPr>
          <w:rFonts w:ascii="Times New Roman" w:eastAsia="Times New Roman" w:hAnsi="Times New Roman" w:cs="Times New Roman"/>
          <w:color w:val="000000"/>
          <w:sz w:val="24"/>
          <w:szCs w:val="24"/>
          <w:lang w:val="ro-RO" w:eastAsia="ru-RU"/>
        </w:rPr>
        <w:t xml:space="preserve"> (recapitularea cunoştinţelor)</w:t>
      </w:r>
    </w:p>
    <w:p w:rsidR="00A16B8C" w:rsidRPr="00A16B8C" w:rsidRDefault="00A16B8C" w:rsidP="00A16B8C">
      <w:pPr>
        <w:widowControl w:val="0"/>
        <w:spacing w:after="0" w:line="240" w:lineRule="auto"/>
        <w:jc w:val="right"/>
        <w:rPr>
          <w:rFonts w:ascii="Times New Roman" w:eastAsia="Times New Roman" w:hAnsi="Times New Roman" w:cs="Times New Roman"/>
          <w:i/>
          <w:color w:val="000000"/>
          <w:sz w:val="24"/>
          <w:szCs w:val="24"/>
          <w:lang w:val="ro-RO" w:eastAsia="ru-RU"/>
        </w:rPr>
      </w:pPr>
      <w:r w:rsidRPr="00A16B8C">
        <w:rPr>
          <w:rFonts w:ascii="Times New Roman" w:eastAsia="Times New Roman" w:hAnsi="Times New Roman" w:cs="Times New Roman"/>
          <w:i/>
          <w:color w:val="000000"/>
          <w:sz w:val="24"/>
          <w:szCs w:val="24"/>
          <w:lang w:val="ro-RO" w:eastAsia="ru-RU"/>
        </w:rPr>
        <w:t>Tabelul 1</w:t>
      </w:r>
    </w:p>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p w:rsidR="00A16B8C" w:rsidRPr="00A16B8C" w:rsidRDefault="00A16B8C" w:rsidP="00A16B8C">
      <w:pPr>
        <w:widowControl w:val="0"/>
        <w:spacing w:after="0" w:line="240" w:lineRule="auto"/>
        <w:ind w:firstLine="720"/>
        <w:jc w:val="center"/>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Caracteristica comparativă a H</w:t>
      </w:r>
      <w:r w:rsidRPr="00A16B8C">
        <w:rPr>
          <w:rFonts w:ascii="Times New Roman" w:eastAsia="Times New Roman" w:hAnsi="Times New Roman" w:cs="Times New Roman"/>
          <w:b/>
          <w:color w:val="000000"/>
          <w:sz w:val="24"/>
          <w:szCs w:val="24"/>
          <w:vertAlign w:val="subscript"/>
          <w:lang w:val="ro-RO" w:eastAsia="ru-RU"/>
        </w:rPr>
        <w:t>2</w:t>
      </w:r>
      <w:r w:rsidRPr="00A16B8C">
        <w:rPr>
          <w:rFonts w:ascii="Times New Roman" w:eastAsia="Times New Roman" w:hAnsi="Times New Roman" w:cs="Times New Roman"/>
          <w:b/>
          <w:color w:val="000000"/>
          <w:sz w:val="24"/>
          <w:szCs w:val="24"/>
          <w:lang w:val="ro-RO" w:eastAsia="ru-RU"/>
        </w:rPr>
        <w:t xml:space="preserve"> – histaminoblocantelor</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A16B8C" w:rsidRPr="00A16B8C" w:rsidTr="00702B6C">
        <w:tc>
          <w:tcPr>
            <w:tcW w:w="1970" w:type="dxa"/>
            <w:vAlign w:val="center"/>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Preparatele </w:t>
            </w:r>
          </w:p>
        </w:tc>
        <w:tc>
          <w:tcPr>
            <w:tcW w:w="1970" w:type="dxa"/>
            <w:vAlign w:val="center"/>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Durata acţiunii (ore)</w:t>
            </w:r>
          </w:p>
        </w:tc>
        <w:tc>
          <w:tcPr>
            <w:tcW w:w="1970" w:type="dxa"/>
            <w:vAlign w:val="center"/>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Doza medie terapeutică (mg)</w:t>
            </w:r>
          </w:p>
        </w:tc>
        <w:tc>
          <w:tcPr>
            <w:tcW w:w="1970" w:type="dxa"/>
            <w:vAlign w:val="center"/>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Blocarea enzimelor</w:t>
            </w:r>
          </w:p>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microsomale (+/-)</w:t>
            </w:r>
          </w:p>
        </w:tc>
        <w:tc>
          <w:tcPr>
            <w:tcW w:w="1970" w:type="dxa"/>
            <w:vAlign w:val="center"/>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Blocarea receptorilor androgenici (+/-)</w:t>
            </w:r>
          </w:p>
        </w:tc>
      </w:tr>
      <w:tr w:rsidR="00A16B8C" w:rsidRPr="00A16B8C" w:rsidTr="00702B6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Cimetidină </w:t>
            </w: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A16B8C" w:rsidRPr="00A16B8C" w:rsidTr="00702B6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Ranitidină</w:t>
            </w: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A16B8C" w:rsidRPr="00A16B8C" w:rsidTr="00702B6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Famotidină </w:t>
            </w: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A16B8C" w:rsidRPr="00A16B8C" w:rsidTr="00702B6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Nizatidină </w:t>
            </w: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bl>
    <w:p w:rsidR="00A16B8C" w:rsidRPr="00A16B8C" w:rsidRDefault="00A16B8C" w:rsidP="00A16B8C">
      <w:pPr>
        <w:widowControl w:val="0"/>
        <w:spacing w:after="0" w:line="240" w:lineRule="auto"/>
        <w:ind w:firstLine="851"/>
        <w:jc w:val="right"/>
        <w:rPr>
          <w:rFonts w:ascii="Times New Roman" w:eastAsia="Times New Roman" w:hAnsi="Times New Roman" w:cs="Times New Roman"/>
          <w:i/>
          <w:color w:val="000000"/>
          <w:sz w:val="24"/>
          <w:szCs w:val="24"/>
          <w:lang w:val="ro-RO" w:eastAsia="ru-RU"/>
        </w:rPr>
      </w:pPr>
    </w:p>
    <w:p w:rsidR="00A16B8C" w:rsidRPr="00A16B8C" w:rsidRDefault="00A16B8C" w:rsidP="00A16B8C">
      <w:pPr>
        <w:widowControl w:val="0"/>
        <w:spacing w:after="0" w:line="240" w:lineRule="auto"/>
        <w:ind w:firstLine="720"/>
        <w:jc w:val="right"/>
        <w:rPr>
          <w:rFonts w:ascii="Times New Roman" w:eastAsia="Times New Roman" w:hAnsi="Times New Roman" w:cs="Times New Roman"/>
          <w:i/>
          <w:color w:val="000000"/>
          <w:sz w:val="24"/>
          <w:szCs w:val="24"/>
          <w:lang w:val="ro-RO" w:eastAsia="ru-RU"/>
        </w:rPr>
      </w:pPr>
      <w:r w:rsidRPr="00A16B8C">
        <w:rPr>
          <w:rFonts w:ascii="Times New Roman" w:eastAsia="Times New Roman" w:hAnsi="Times New Roman" w:cs="Times New Roman"/>
          <w:i/>
          <w:color w:val="000000"/>
          <w:sz w:val="24"/>
          <w:szCs w:val="24"/>
          <w:lang w:val="ro-RO" w:eastAsia="ru-RU"/>
        </w:rPr>
        <w:t>Tabelul 2</w:t>
      </w:r>
    </w:p>
    <w:p w:rsidR="00A16B8C" w:rsidRPr="00A16B8C" w:rsidRDefault="00A16B8C" w:rsidP="00A16B8C">
      <w:pPr>
        <w:widowControl w:val="0"/>
        <w:spacing w:after="0" w:line="240" w:lineRule="auto"/>
        <w:ind w:firstLine="720"/>
        <w:jc w:val="center"/>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 xml:space="preserve">Caracteristica comparativă a preparatelor gastroprotectoare </w:t>
      </w:r>
    </w:p>
    <w:tbl>
      <w:tblPr>
        <w:tblW w:w="9971" w:type="dxa"/>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741"/>
        <w:gridCol w:w="1559"/>
        <w:gridCol w:w="2126"/>
        <w:gridCol w:w="1843"/>
      </w:tblGrid>
      <w:tr w:rsidR="00A16B8C" w:rsidRPr="00A16B8C" w:rsidTr="00702B6C">
        <w:trPr>
          <w:jc w:val="center"/>
        </w:trPr>
        <w:tc>
          <w:tcPr>
            <w:tcW w:w="4443" w:type="dxa"/>
            <w:gridSpan w:val="2"/>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Efectele farmacologice</w:t>
            </w:r>
          </w:p>
        </w:tc>
        <w:tc>
          <w:tcPr>
            <w:tcW w:w="1559"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Sucralfat</w:t>
            </w:r>
          </w:p>
        </w:tc>
        <w:tc>
          <w:tcPr>
            <w:tcW w:w="2126"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Subcitrat de bismut coloidal</w:t>
            </w:r>
          </w:p>
        </w:tc>
        <w:tc>
          <w:tcPr>
            <w:tcW w:w="1843"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Misoprostol</w:t>
            </w:r>
          </w:p>
        </w:tc>
      </w:tr>
      <w:tr w:rsidR="00A16B8C" w:rsidRPr="00691B46" w:rsidTr="00702B6C">
        <w:trPr>
          <w:jc w:val="center"/>
        </w:trPr>
        <w:tc>
          <w:tcPr>
            <w:tcW w:w="1702" w:type="dxa"/>
            <w:vMerge w:val="restart"/>
          </w:tcPr>
          <w:p w:rsidR="00A16B8C" w:rsidRPr="00A16B8C" w:rsidRDefault="00A16B8C" w:rsidP="00A16B8C">
            <w:pPr>
              <w:widowControl w:val="0"/>
              <w:spacing w:after="0" w:line="240" w:lineRule="auto"/>
              <w:ind w:right="34"/>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Acțiune gastroduodeno</w:t>
            </w:r>
          </w:p>
          <w:p w:rsidR="00A16B8C" w:rsidRPr="00A16B8C" w:rsidRDefault="00A16B8C" w:rsidP="00A16B8C">
            <w:pPr>
              <w:widowControl w:val="0"/>
              <w:spacing w:after="0" w:line="240" w:lineRule="auto"/>
              <w:ind w:right="34"/>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protectoare</w:t>
            </w:r>
          </w:p>
        </w:tc>
        <w:tc>
          <w:tcPr>
            <w:tcW w:w="2741"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Protecție mecanică a mucoasei gastrice</w:t>
            </w:r>
          </w:p>
        </w:tc>
        <w:tc>
          <w:tcPr>
            <w:tcW w:w="1559"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2126"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843" w:type="dxa"/>
          </w:tcPr>
          <w:p w:rsidR="00A16B8C" w:rsidRPr="00A16B8C" w:rsidRDefault="00A16B8C" w:rsidP="00A16B8C">
            <w:pPr>
              <w:widowControl w:val="0"/>
              <w:spacing w:after="0" w:line="240" w:lineRule="auto"/>
              <w:ind w:firstLine="93"/>
              <w:jc w:val="both"/>
              <w:rPr>
                <w:rFonts w:ascii="Times New Roman" w:eastAsia="Times New Roman" w:hAnsi="Times New Roman" w:cs="Times New Roman"/>
                <w:color w:val="000000"/>
                <w:sz w:val="24"/>
                <w:szCs w:val="24"/>
                <w:lang w:val="ro-RO" w:eastAsia="ru-RU"/>
              </w:rPr>
            </w:pPr>
          </w:p>
        </w:tc>
      </w:tr>
      <w:tr w:rsidR="00A16B8C" w:rsidRPr="00691B46" w:rsidTr="00702B6C">
        <w:trPr>
          <w:jc w:val="center"/>
        </w:trPr>
        <w:tc>
          <w:tcPr>
            <w:tcW w:w="1702" w:type="dxa"/>
            <w:vMerge/>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2741"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Creșterea rezistenței mucoasei gastrice la factorii nocivi</w:t>
            </w:r>
          </w:p>
        </w:tc>
        <w:tc>
          <w:tcPr>
            <w:tcW w:w="1559"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2126"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843"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A16B8C" w:rsidRPr="00A16B8C" w:rsidTr="00702B6C">
        <w:trPr>
          <w:jc w:val="center"/>
        </w:trPr>
        <w:tc>
          <w:tcPr>
            <w:tcW w:w="1702" w:type="dxa"/>
            <w:vMerge w:val="restart"/>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lastRenderedPageBreak/>
              <w:t>Efecte  adiționale</w:t>
            </w:r>
          </w:p>
        </w:tc>
        <w:tc>
          <w:tcPr>
            <w:tcW w:w="2741"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Influența asupra secreției HCl</w:t>
            </w:r>
          </w:p>
        </w:tc>
        <w:tc>
          <w:tcPr>
            <w:tcW w:w="1559"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2126"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843"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A16B8C" w:rsidRPr="00691B46" w:rsidTr="00702B6C">
        <w:trPr>
          <w:jc w:val="center"/>
        </w:trPr>
        <w:tc>
          <w:tcPr>
            <w:tcW w:w="1702" w:type="dxa"/>
            <w:vMerge/>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2741" w:type="dxa"/>
          </w:tcPr>
          <w:p w:rsidR="00A16B8C" w:rsidRPr="00A16B8C" w:rsidRDefault="00A16B8C" w:rsidP="00A16B8C">
            <w:pPr>
              <w:widowControl w:val="0"/>
              <w:spacing w:after="0" w:line="240" w:lineRule="auto"/>
              <w:jc w:val="center"/>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Acțiune antibacteriană față de </w:t>
            </w:r>
            <w:r w:rsidRPr="00A16B8C">
              <w:rPr>
                <w:rFonts w:ascii="Times New Roman" w:eastAsia="Times New Roman" w:hAnsi="Times New Roman" w:cs="Times New Roman"/>
                <w:i/>
                <w:color w:val="000000"/>
                <w:sz w:val="24"/>
                <w:szCs w:val="24"/>
                <w:lang w:val="ro-RO" w:eastAsia="ru-RU"/>
              </w:rPr>
              <w:t>Helicobacter pylori</w:t>
            </w:r>
          </w:p>
        </w:tc>
        <w:tc>
          <w:tcPr>
            <w:tcW w:w="1559"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2126"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843" w:type="dxa"/>
          </w:tcPr>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tc>
      </w:tr>
    </w:tbl>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Notă: prezența efectului notați cu semnul „+”</w:t>
      </w:r>
    </w:p>
    <w:p w:rsidR="00A16B8C" w:rsidRPr="00A16B8C" w:rsidRDefault="00A16B8C" w:rsidP="00A16B8C">
      <w:pPr>
        <w:widowControl w:val="0"/>
        <w:spacing w:after="0" w:line="240" w:lineRule="auto"/>
        <w:jc w:val="both"/>
        <w:rPr>
          <w:rFonts w:ascii="Times New Roman" w:eastAsia="Times New Roman" w:hAnsi="Times New Roman" w:cs="Times New Roman"/>
          <w:color w:val="000000"/>
          <w:sz w:val="24"/>
          <w:szCs w:val="24"/>
          <w:lang w:val="ro-RO" w:eastAsia="ru-RU"/>
        </w:rPr>
      </w:pPr>
    </w:p>
    <w:p w:rsidR="00A16B8C" w:rsidRPr="00A16B8C" w:rsidRDefault="00A16B8C" w:rsidP="00A16B8C">
      <w:pPr>
        <w:spacing w:after="0"/>
        <w:jc w:val="both"/>
        <w:rPr>
          <w:rFonts w:ascii="Times New Roman" w:eastAsia="Times New Roman" w:hAnsi="Times New Roman" w:cs="Times New Roman"/>
          <w:b/>
          <w:color w:val="000000"/>
          <w:sz w:val="24"/>
          <w:szCs w:val="24"/>
          <w:lang w:val="ro-RO" w:eastAsia="ru-RU"/>
        </w:rPr>
      </w:pPr>
      <w:r w:rsidRPr="00A16B8C">
        <w:rPr>
          <w:rFonts w:ascii="Times New Roman" w:eastAsia="Times New Roman" w:hAnsi="Times New Roman" w:cs="Times New Roman"/>
          <w:b/>
          <w:color w:val="000000"/>
          <w:sz w:val="24"/>
          <w:szCs w:val="24"/>
          <w:lang w:val="ro-RO" w:eastAsia="ru-RU"/>
        </w:rPr>
        <w:t>8) Problemă</w:t>
      </w:r>
    </w:p>
    <w:p w:rsidR="00A16B8C" w:rsidRPr="00A16B8C" w:rsidRDefault="00A16B8C" w:rsidP="00A16B8C">
      <w:pPr>
        <w:spacing w:after="0" w:line="240" w:lineRule="auto"/>
        <w:ind w:firstLine="708"/>
        <w:jc w:val="both"/>
        <w:rPr>
          <w:rFonts w:ascii="Times New Roman" w:eastAsia="Times New Roman" w:hAnsi="Times New Roman" w:cs="Times New Roman"/>
          <w:i/>
          <w:color w:val="000000"/>
          <w:sz w:val="24"/>
          <w:szCs w:val="24"/>
          <w:lang w:val="ro-RO" w:eastAsia="ru-RU"/>
        </w:rPr>
      </w:pPr>
      <w:r w:rsidRPr="00A16B8C">
        <w:rPr>
          <w:rFonts w:ascii="Times New Roman" w:eastAsia="Times New Roman" w:hAnsi="Times New Roman" w:cs="Times New Roman"/>
          <w:color w:val="000000"/>
          <w:sz w:val="24"/>
          <w:szCs w:val="24"/>
          <w:lang w:val="ro-RO" w:eastAsia="ru-RU"/>
        </w:rPr>
        <w:t xml:space="preserve">Pacientul X, de 61 de ani, a fost internat cu următoarele acuze: pirozis, greață, durere în regiunea epigastrică, care au apărut la 1,5 ore după masă, dureri frecvente  „de noapte”. Din anamneză: aproximativ 15 ani suferă de ulcer gastric cu exacerbări frecvente. În studiul probelor de biopsie ale mucoasei gastrice, a fost detectat </w:t>
      </w:r>
      <w:r w:rsidRPr="00A16B8C">
        <w:rPr>
          <w:rFonts w:ascii="Times New Roman" w:eastAsia="Times New Roman" w:hAnsi="Times New Roman" w:cs="Times New Roman"/>
          <w:i/>
          <w:color w:val="000000"/>
          <w:sz w:val="24"/>
          <w:szCs w:val="24"/>
          <w:lang w:val="ro-RO" w:eastAsia="ru-RU"/>
        </w:rPr>
        <w:t>Helicobacter pylori.</w:t>
      </w:r>
    </w:p>
    <w:p w:rsidR="00A16B8C" w:rsidRPr="00A16B8C" w:rsidRDefault="00A16B8C" w:rsidP="00A16B8C">
      <w:pPr>
        <w:spacing w:after="0" w:line="240" w:lineRule="auto"/>
        <w:ind w:firstLine="708"/>
        <w:jc w:val="both"/>
        <w:rPr>
          <w:rFonts w:ascii="Times New Roman" w:eastAsia="Times New Roman" w:hAnsi="Times New Roman" w:cs="Times New Roman"/>
          <w:b/>
          <w:i/>
          <w:color w:val="000000"/>
          <w:sz w:val="24"/>
          <w:szCs w:val="24"/>
          <w:lang w:val="ro-RO" w:eastAsia="ru-RU"/>
        </w:rPr>
      </w:pPr>
      <w:r w:rsidRPr="00A16B8C">
        <w:rPr>
          <w:rFonts w:ascii="Times New Roman" w:eastAsia="Times New Roman" w:hAnsi="Times New Roman" w:cs="Times New Roman"/>
          <w:b/>
          <w:i/>
          <w:color w:val="000000"/>
          <w:sz w:val="24"/>
          <w:szCs w:val="24"/>
          <w:lang w:val="ro-RO" w:eastAsia="ru-RU"/>
        </w:rPr>
        <w:t>Numiți schemele posibile de tratament și argumentați-le.</w:t>
      </w:r>
    </w:p>
    <w:p w:rsidR="00A16B8C" w:rsidRPr="00A16B8C" w:rsidRDefault="00A16B8C" w:rsidP="009A1686">
      <w:pPr>
        <w:spacing w:after="0" w:line="240" w:lineRule="auto"/>
        <w:rPr>
          <w:rFonts w:ascii="Times New Roman" w:eastAsia="Times New Roman" w:hAnsi="Times New Roman" w:cs="Times New Roman"/>
          <w:b/>
          <w:color w:val="000000"/>
          <w:sz w:val="24"/>
          <w:szCs w:val="24"/>
          <w:lang w:val="ro-RO" w:eastAsia="x-none"/>
        </w:rPr>
      </w:pPr>
    </w:p>
    <w:sectPr w:rsidR="00A16B8C" w:rsidRPr="00A16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93F"/>
    <w:multiLevelType w:val="hybridMultilevel"/>
    <w:tmpl w:val="5C127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63"/>
    <w:rsid w:val="00041858"/>
    <w:rsid w:val="00076007"/>
    <w:rsid w:val="00137738"/>
    <w:rsid w:val="00257113"/>
    <w:rsid w:val="00280091"/>
    <w:rsid w:val="00605063"/>
    <w:rsid w:val="00691B46"/>
    <w:rsid w:val="006D04A7"/>
    <w:rsid w:val="0070607D"/>
    <w:rsid w:val="007169D9"/>
    <w:rsid w:val="00845A9B"/>
    <w:rsid w:val="008D63C4"/>
    <w:rsid w:val="0091383F"/>
    <w:rsid w:val="00920E35"/>
    <w:rsid w:val="00944F8D"/>
    <w:rsid w:val="009804B1"/>
    <w:rsid w:val="009A1686"/>
    <w:rsid w:val="00A16B8C"/>
    <w:rsid w:val="00A22F61"/>
    <w:rsid w:val="00A86E75"/>
    <w:rsid w:val="00B2168D"/>
    <w:rsid w:val="00C64926"/>
    <w:rsid w:val="00D447F3"/>
    <w:rsid w:val="00D5686F"/>
    <w:rsid w:val="00DD750F"/>
    <w:rsid w:val="00DE6B32"/>
    <w:rsid w:val="00DF23DB"/>
    <w:rsid w:val="00E851AC"/>
    <w:rsid w:val="00ED2322"/>
    <w:rsid w:val="00F2771F"/>
    <w:rsid w:val="00F87325"/>
    <w:rsid w:val="00FB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2020-02-19T10:20:00Z</cp:lastPrinted>
  <dcterms:created xsi:type="dcterms:W3CDTF">2020-02-04T11:19:00Z</dcterms:created>
  <dcterms:modified xsi:type="dcterms:W3CDTF">2020-02-21T12:19:00Z</dcterms:modified>
</cp:coreProperties>
</file>